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7777777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Pr="00A34337">
        <w:rPr>
          <w:rFonts w:ascii="Arial" w:hAnsi="Arial"/>
          <w:sz w:val="24"/>
          <w:szCs w:val="20"/>
        </w:rPr>
        <w:t xml:space="preserve">.  </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3FD6C092" w14:textId="77777777" w:rsidR="007335CD" w:rsidRPr="00A34337" w:rsidRDefault="00880F36" w:rsidP="003A6C3C">
      <w:pPr>
        <w:pStyle w:val="GPSL2NumberedBoldHeading"/>
        <w:jc w:val="left"/>
        <w:rPr>
          <w:rFonts w:ascii="Arial" w:hAnsi="Arial"/>
          <w:sz w:val="24"/>
          <w:szCs w:val="20"/>
        </w:rPr>
      </w:pPr>
      <w:r w:rsidRPr="00A34337">
        <w:rPr>
          <w:rFonts w:ascii="Arial" w:hAnsi="Arial"/>
          <w:sz w:val="24"/>
          <w:szCs w:val="20"/>
        </w:rPr>
        <w:t>Clauses 3.(d), 3.2(g) (Warranties), 37.2 (Waiver)</w:t>
      </w:r>
      <w:r w:rsidRPr="00A34337">
        <w:rPr>
          <w:rFonts w:ascii="Arial" w:hAnsi="Arial"/>
          <w:b/>
          <w:sz w:val="24"/>
          <w:szCs w:val="20"/>
        </w:rPr>
        <w:t xml:space="preserve"> – </w:t>
      </w:r>
      <w:r w:rsidRPr="00A34337">
        <w:rPr>
          <w:rFonts w:ascii="Arial" w:hAnsi="Arial"/>
          <w:sz w:val="24"/>
          <w:szCs w:val="20"/>
        </w:rPr>
        <w:t>removed reference to inapplicable “Equity law”</w:t>
      </w:r>
      <w:r w:rsidR="007335CD" w:rsidRPr="00A34337">
        <w:rPr>
          <w:rFonts w:ascii="Arial" w:hAnsi="Arial"/>
          <w:sz w:val="24"/>
          <w:szCs w:val="20"/>
        </w:rPr>
        <w:t xml:space="preserve"> </w:t>
      </w:r>
    </w:p>
    <w:p w14:paraId="2CA67CAE" w14:textId="77777777"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15.13 (Power of Attorney), 21.6(f) (Confidentiality), 26 (Assignment &amp; Novation), The definition of “Successor” Body –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p>
    <w:p w14:paraId="0A09D84F" w14:textId="77777777"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replaced by </w:t>
      </w:r>
      <w:r w:rsidRPr="00A34337">
        <w:rPr>
          <w:rFonts w:ascii="Arial" w:hAnsi="Arial"/>
          <w:i/>
          <w:sz w:val="24"/>
          <w:szCs w:val="20"/>
        </w:rPr>
        <w:t xml:space="preserve">“the doctrine of jus </w:t>
      </w:r>
      <w:proofErr w:type="spellStart"/>
      <w:r w:rsidRPr="00A34337">
        <w:rPr>
          <w:rFonts w:ascii="Arial" w:hAnsi="Arial"/>
          <w:i/>
          <w:sz w:val="24"/>
          <w:szCs w:val="20"/>
        </w:rPr>
        <w:t>quaesitum</w:t>
      </w:r>
      <w:proofErr w:type="spellEnd"/>
      <w:r w:rsidRPr="00A34337">
        <w:rPr>
          <w:rFonts w:ascii="Arial" w:hAnsi="Arial"/>
          <w:i/>
          <w:sz w:val="24"/>
          <w:szCs w:val="20"/>
        </w:rPr>
        <w:t xml:space="preserve"> </w:t>
      </w:r>
      <w:proofErr w:type="spellStart"/>
      <w:r w:rsidRPr="00A34337">
        <w:rPr>
          <w:rFonts w:ascii="Arial" w:hAnsi="Arial"/>
          <w:i/>
          <w:sz w:val="24"/>
          <w:szCs w:val="20"/>
        </w:rPr>
        <w:t>tertio</w:t>
      </w:r>
      <w:proofErr w:type="spellEnd"/>
      <w:r w:rsidRPr="00A34337">
        <w:rPr>
          <w:rFonts w:ascii="Arial" w:hAnsi="Arial"/>
          <w:i/>
          <w:sz w:val="24"/>
          <w:szCs w:val="20"/>
        </w:rPr>
        <w:t>”,</w:t>
      </w:r>
    </w:p>
    <w:p w14:paraId="36BC11E9" w14:textId="77777777"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Clause 16.1(c) added word “pre-existing” in rela</w:t>
      </w:r>
      <w:r w:rsidR="001649BE" w:rsidRPr="00A34337">
        <w:rPr>
          <w:rFonts w:ascii="Arial" w:hAnsi="Arial"/>
          <w:sz w:val="24"/>
          <w:szCs w:val="20"/>
        </w:rPr>
        <w:t>tion to Know-How, trade secrets.</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667BE704" w14:textId="7777777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 The seat or legal place of the arbitration shall be </w:t>
      </w:r>
      <w:proofErr w:type="spellStart"/>
      <w:r w:rsidRPr="00A34337">
        <w:rPr>
          <w:rFonts w:ascii="Arial" w:hAnsi="Arial"/>
          <w:sz w:val="24"/>
          <w:szCs w:val="20"/>
        </w:rPr>
        <w:t>ammended</w:t>
      </w:r>
      <w:proofErr w:type="spellEnd"/>
      <w:r w:rsidRPr="00A34337">
        <w:rPr>
          <w:rFonts w:ascii="Arial" w:hAnsi="Arial"/>
          <w:sz w:val="24"/>
          <w:szCs w:val="20"/>
        </w:rPr>
        <w:t xml:space="preserve"> so that it takes place in “Edinburgh” as opposed to “London”.</w:t>
      </w:r>
    </w:p>
    <w:p w14:paraId="3A5A6F14" w14:textId="77777777"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A34337">
        <w:rPr>
          <w:rFonts w:ascii="Arial" w:hAnsi="Arial"/>
          <w:sz w:val="24"/>
          <w:szCs w:val="20"/>
        </w:rPr>
        <w:t>T</w:t>
      </w:r>
      <w:r w:rsidR="00D44FC1" w:rsidRPr="00A34337">
        <w:rPr>
          <w:rFonts w:ascii="Arial" w:hAnsi="Arial"/>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p>
    <w:p w14:paraId="3A6417F3" w14:textId="77777777" w:rsidR="00D44FC1" w:rsidRPr="00A34337" w:rsidRDefault="00D44FC1" w:rsidP="003A6C3C">
      <w:pPr>
        <w:pStyle w:val="GPSL4numberedclause"/>
        <w:jc w:val="left"/>
        <w:rPr>
          <w:rFonts w:ascii="Arial" w:hAnsi="Arial"/>
          <w:sz w:val="24"/>
          <w:szCs w:val="20"/>
        </w:rPr>
      </w:pPr>
      <w:r w:rsidRPr="00A34337">
        <w:rPr>
          <w:rFonts w:ascii="Arial" w:hAnsi="Arial"/>
          <w:sz w:val="24"/>
          <w:szCs w:val="20"/>
        </w:rPr>
        <w:t>New Clause 9.10 “The Supplier shall ensure that all its contracts with Related Third Parties require the Related Third Parties to participate in the procedure set out in this Paragraph 9 in respect of any Multi-Party Dispute. The Supplier shall further ensure that all such Related Third Parties comply with such contractual requirements”</w:t>
      </w:r>
    </w:p>
    <w:p w14:paraId="2CF79C45" w14:textId="77777777"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Term </w:t>
      </w:r>
      <w:r w:rsidR="00E63C82" w:rsidRPr="00A34337">
        <w:rPr>
          <w:rFonts w:ascii="Arial" w:hAnsi="Arial"/>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with </w:t>
      </w:r>
      <w:r w:rsidR="009612FD" w:rsidRPr="00A34337">
        <w:rPr>
          <w:rFonts w:ascii="Arial" w:hAnsi="Arial"/>
          <w:sz w:val="24"/>
          <w:szCs w:val="20"/>
        </w:rPr>
        <w:t xml:space="preserve">“the Law of </w:t>
      </w:r>
      <w:r w:rsidRPr="00A34337">
        <w:rPr>
          <w:rFonts w:ascii="Arial" w:hAnsi="Arial"/>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lastRenderedPageBreak/>
        <w:t>Changes to the Joint Schedules</w:t>
      </w:r>
    </w:p>
    <w:p w14:paraId="63A7E995" w14:textId="77777777"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J1 – Definitions</w:t>
      </w:r>
    </w:p>
    <w:p w14:paraId="3BB8DF7B" w14:textId="77777777" w:rsidR="007335CD" w:rsidRPr="00A34337" w:rsidRDefault="009612FD" w:rsidP="003A6C3C">
      <w:pPr>
        <w:pStyle w:val="GPSL3numberedclause"/>
        <w:jc w:val="left"/>
        <w:rPr>
          <w:rFonts w:ascii="Arial" w:hAnsi="Arial"/>
          <w:sz w:val="24"/>
          <w:szCs w:val="20"/>
        </w:rPr>
      </w:pPr>
      <w:r w:rsidRPr="00A34337">
        <w:rPr>
          <w:rFonts w:ascii="Arial" w:hAnsi="Arial"/>
          <w:sz w:val="24"/>
          <w:szCs w:val="20"/>
        </w:rPr>
        <w:t>Delete the definition of</w:t>
      </w:r>
      <w:r w:rsidR="007335CD" w:rsidRPr="00A34337">
        <w:rPr>
          <w:rFonts w:ascii="Arial" w:hAnsi="Arial"/>
          <w:sz w:val="24"/>
          <w:szCs w:val="20"/>
        </w:rPr>
        <w:t xml:space="preserve"> “CRTPA”</w:t>
      </w:r>
      <w:r w:rsidRPr="00A34337">
        <w:rPr>
          <w:rFonts w:ascii="Arial" w:hAnsi="Arial"/>
          <w:sz w:val="24"/>
          <w:szCs w:val="20"/>
        </w:rPr>
        <w:t xml:space="preserve"> in its entirety.</w:t>
      </w:r>
    </w:p>
    <w:p w14:paraId="3E62502B" w14:textId="77777777" w:rsidR="007335CD" w:rsidRPr="00A34337" w:rsidRDefault="007335CD" w:rsidP="003A6C3C">
      <w:pPr>
        <w:pStyle w:val="GPSL3numberedclause"/>
        <w:jc w:val="left"/>
        <w:rPr>
          <w:rFonts w:ascii="Arial" w:hAnsi="Arial"/>
          <w:sz w:val="24"/>
          <w:szCs w:val="20"/>
        </w:rPr>
      </w:pPr>
      <w:r w:rsidRPr="00A34337">
        <w:rPr>
          <w:rFonts w:ascii="Arial" w:hAnsi="Arial"/>
          <w:sz w:val="24"/>
          <w:szCs w:val="20"/>
        </w:rPr>
        <w:t xml:space="preserve"> “Employee Liabilities”, (f) added </w:t>
      </w:r>
      <w:r w:rsidRPr="00A34337">
        <w:rPr>
          <w:rFonts w:ascii="Arial" w:hAnsi="Arial"/>
          <w:i/>
          <w:sz w:val="24"/>
          <w:szCs w:val="20"/>
        </w:rPr>
        <w:t>“delict” after the word the word “tort”</w:t>
      </w:r>
      <w:r w:rsidRPr="00A34337">
        <w:rPr>
          <w:rFonts w:ascii="Arial" w:hAnsi="Arial"/>
          <w:sz w:val="24"/>
          <w:szCs w:val="20"/>
        </w:rPr>
        <w:t xml:space="preserve"> and in “Losses” after the word “contract”</w:t>
      </w:r>
    </w:p>
    <w:p w14:paraId="5CAA5D55" w14:textId="77777777" w:rsidR="00D236B6" w:rsidRPr="00A34337" w:rsidRDefault="00D236B6" w:rsidP="003A6C3C">
      <w:pPr>
        <w:pStyle w:val="GPSL3numberedclause"/>
        <w:jc w:val="left"/>
        <w:rPr>
          <w:rFonts w:ascii="Arial" w:hAnsi="Arial"/>
          <w:sz w:val="24"/>
          <w:szCs w:val="20"/>
        </w:rPr>
      </w:pPr>
      <w:r w:rsidRPr="00A34337">
        <w:rPr>
          <w:rFonts w:ascii="Arial" w:hAnsi="Arial"/>
          <w:sz w:val="24"/>
          <w:szCs w:val="20"/>
        </w:rPr>
        <w:t xml:space="preserve">Insolvency Event (b) -–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p>
    <w:p w14:paraId="0ECB6C4F" w14:textId="77777777" w:rsidR="00D236B6" w:rsidRPr="00A34337" w:rsidRDefault="00D236B6" w:rsidP="003A6C3C">
      <w:pPr>
        <w:pStyle w:val="GPSL3numberedclause"/>
        <w:numPr>
          <w:ilvl w:val="0"/>
          <w:numId w:val="0"/>
        </w:numPr>
        <w:jc w:val="left"/>
        <w:rPr>
          <w:rFonts w:ascii="Arial" w:hAnsi="Arial"/>
          <w:sz w:val="24"/>
          <w:szCs w:val="20"/>
        </w:rPr>
      </w:pPr>
    </w:p>
    <w:p w14:paraId="2D06D1CA" w14:textId="77777777" w:rsidR="007335CD" w:rsidRPr="00A34337" w:rsidRDefault="00412D4E" w:rsidP="003A6C3C">
      <w:pPr>
        <w:pStyle w:val="GPSL3numberedclause"/>
        <w:jc w:val="left"/>
        <w:rPr>
          <w:rFonts w:ascii="Arial" w:hAnsi="Arial"/>
          <w:sz w:val="24"/>
          <w:szCs w:val="20"/>
        </w:rPr>
      </w:pPr>
      <w:r w:rsidRPr="00A34337">
        <w:rPr>
          <w:rFonts w:ascii="Arial" w:hAnsi="Arial"/>
          <w:sz w:val="24"/>
          <w:szCs w:val="20"/>
        </w:rPr>
        <w:t xml:space="preserve"> </w:t>
      </w:r>
      <w:r w:rsidR="007335CD" w:rsidRPr="00A34337">
        <w:rPr>
          <w:rFonts w:ascii="Arial" w:hAnsi="Arial"/>
          <w:sz w:val="24"/>
          <w:szCs w:val="20"/>
        </w:rPr>
        <w:t>“Working Day”: reference to “England and Wales” replaced by “Scotland”</w:t>
      </w:r>
    </w:p>
    <w:p w14:paraId="79AB09F9" w14:textId="77777777" w:rsidR="00D44FC1" w:rsidRPr="00A34337" w:rsidRDefault="00E94174" w:rsidP="003A6C3C">
      <w:pPr>
        <w:pStyle w:val="GPSL2NumberedBoldHeading"/>
        <w:jc w:val="left"/>
        <w:rPr>
          <w:rFonts w:ascii="Arial" w:hAnsi="Arial"/>
          <w:sz w:val="24"/>
          <w:szCs w:val="20"/>
        </w:rPr>
      </w:pPr>
      <w:r w:rsidRPr="00A34337">
        <w:rPr>
          <w:rFonts w:ascii="Arial" w:hAnsi="Arial"/>
          <w:sz w:val="24"/>
          <w:szCs w:val="20"/>
        </w:rPr>
        <w:t>[</w:t>
      </w:r>
      <w:r w:rsidR="00123B48" w:rsidRPr="00A34337">
        <w:rPr>
          <w:rFonts w:ascii="Arial" w:hAnsi="Arial"/>
          <w:sz w:val="24"/>
          <w:szCs w:val="20"/>
        </w:rPr>
        <w:t>Joint Schedule 8</w:t>
      </w:r>
      <w:r w:rsidR="00D44FC1" w:rsidRPr="00A34337">
        <w:rPr>
          <w:rFonts w:ascii="Arial" w:hAnsi="Arial"/>
          <w:sz w:val="24"/>
          <w:szCs w:val="20"/>
        </w:rPr>
        <w:t xml:space="preserve"> –</w:t>
      </w:r>
      <w:r w:rsidRPr="00A34337">
        <w:rPr>
          <w:rFonts w:ascii="Arial" w:hAnsi="Arial"/>
          <w:sz w:val="24"/>
          <w:szCs w:val="20"/>
        </w:rPr>
        <w:t xml:space="preserve"> Guarantee </w:t>
      </w:r>
    </w:p>
    <w:p w14:paraId="31AA7C43"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Recital </w:t>
      </w:r>
      <w:r w:rsidR="00123B48" w:rsidRPr="00A34337">
        <w:rPr>
          <w:rFonts w:ascii="Arial" w:hAnsi="Arial"/>
          <w:sz w:val="24"/>
          <w:szCs w:val="20"/>
        </w:rPr>
        <w:t>B</w:t>
      </w:r>
      <w:r w:rsidRPr="00A34337">
        <w:rPr>
          <w:rFonts w:ascii="Arial" w:hAnsi="Arial"/>
          <w:sz w:val="24"/>
          <w:szCs w:val="20"/>
        </w:rPr>
        <w:t xml:space="preserve"> “deed” replaced by “</w:t>
      </w:r>
      <w:r w:rsidR="00123B48" w:rsidRPr="00A34337">
        <w:rPr>
          <w:rFonts w:ascii="Arial" w:hAnsi="Arial"/>
          <w:sz w:val="24"/>
          <w:szCs w:val="20"/>
        </w:rPr>
        <w:t>contract</w:t>
      </w:r>
      <w:r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 xml:space="preserve">shall be amended to </w:t>
      </w:r>
      <w:proofErr w:type="spellStart"/>
      <w:r w:rsidRPr="00A34337">
        <w:rPr>
          <w:rFonts w:ascii="Arial" w:hAnsi="Arial"/>
          <w:sz w:val="24"/>
          <w:szCs w:val="20"/>
        </w:rPr>
        <w:t>to</w:t>
      </w:r>
      <w:proofErr w:type="spellEnd"/>
      <w:r w:rsidRPr="00A34337">
        <w:rPr>
          <w:rFonts w:ascii="Arial" w:hAnsi="Arial"/>
          <w:sz w:val="24"/>
          <w:szCs w:val="20"/>
        </w:rPr>
        <w:t xml:space="preserve"> “assignation”</w:t>
      </w:r>
    </w:p>
    <w:p w14:paraId="69780A5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7AAA20DA"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p>
    <w:p w14:paraId="05CDEF45" w14:textId="77777777" w:rsidR="00D44FC1" w:rsidRPr="00A34337" w:rsidRDefault="00D44FC1" w:rsidP="003A6C3C">
      <w:pPr>
        <w:pStyle w:val="GPSL3numberedclause"/>
        <w:numPr>
          <w:ilvl w:val="0"/>
          <w:numId w:val="0"/>
        </w:numPr>
        <w:jc w:val="left"/>
        <w:rPr>
          <w:rFonts w:ascii="Arial" w:hAnsi="Arial"/>
          <w:sz w:val="24"/>
          <w:szCs w:val="20"/>
        </w:rPr>
      </w:pPr>
    </w:p>
    <w:sectPr w:rsidR="00D44FC1"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F6647" w14:textId="77777777" w:rsidR="00D00F7C" w:rsidRDefault="00D00F7C">
      <w:pPr>
        <w:spacing w:after="0" w:line="240" w:lineRule="auto"/>
      </w:pPr>
      <w:r>
        <w:separator/>
      </w:r>
    </w:p>
  </w:endnote>
  <w:endnote w:type="continuationSeparator" w:id="0">
    <w:p w14:paraId="067CF4D0" w14:textId="77777777" w:rsidR="00D00F7C" w:rsidRDefault="00D0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3A6C3C" w:rsidRDefault="003A6C3C" w:rsidP="00597414">
    <w:pPr>
      <w:tabs>
        <w:tab w:val="center" w:pos="4513"/>
        <w:tab w:val="right" w:pos="9026"/>
      </w:tabs>
      <w:spacing w:after="0"/>
      <w:rPr>
        <w:rFonts w:ascii="Arial" w:hAnsi="Arial" w:cs="Arial"/>
        <w:sz w:val="20"/>
      </w:rPr>
    </w:pPr>
  </w:p>
  <w:p w14:paraId="12A3F559" w14:textId="1E648FFD" w:rsidR="00597414" w:rsidRPr="001745AC" w:rsidRDefault="00597414"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CB3571">
      <w:rPr>
        <w:rFonts w:ascii="Arial" w:hAnsi="Arial" w:cs="Arial"/>
        <w:sz w:val="20"/>
      </w:rPr>
      <w:t>3821</w:t>
    </w:r>
  </w:p>
  <w:p w14:paraId="370813A6" w14:textId="4FEF554C" w:rsidR="00597414" w:rsidRPr="001745AC" w:rsidRDefault="001745AC" w:rsidP="00597414">
    <w:pPr>
      <w:tabs>
        <w:tab w:val="center" w:pos="4513"/>
        <w:tab w:val="right" w:pos="9026"/>
      </w:tabs>
      <w:spacing w:after="0"/>
      <w:rPr>
        <w:rFonts w:ascii="Arial" w:hAnsi="Arial" w:cs="Arial"/>
        <w:sz w:val="20"/>
      </w:rPr>
    </w:pPr>
    <w:r w:rsidRPr="001745AC">
      <w:rPr>
        <w:rFonts w:ascii="Arial" w:hAnsi="Arial" w:cs="Arial"/>
        <w:sz w:val="20"/>
      </w:rPr>
      <w:t>Project Version</w:t>
    </w:r>
    <w:r w:rsidR="004C5F4A">
      <w:rPr>
        <w:rFonts w:ascii="Arial" w:hAnsi="Arial" w:cs="Arial"/>
        <w:sz w:val="20"/>
      </w:rPr>
      <w:t xml:space="preserve">: V1 </w:t>
    </w:r>
    <w:r w:rsidRPr="001745AC">
      <w:rPr>
        <w:rFonts w:ascii="Arial" w:hAnsi="Arial" w:cs="Arial"/>
        <w:sz w:val="20"/>
      </w:rPr>
      <w:tab/>
    </w:r>
    <w:r w:rsidRPr="001745AC">
      <w:rPr>
        <w:rFonts w:ascii="Arial" w:hAnsi="Arial" w:cs="Arial"/>
        <w:sz w:val="20"/>
      </w:rPr>
      <w:tab/>
      <w:t xml:space="preserve"> 1</w:t>
    </w:r>
  </w:p>
  <w:p w14:paraId="4BE6A99C" w14:textId="77777777" w:rsidR="0081513E" w:rsidRPr="00597414" w:rsidRDefault="001745AC" w:rsidP="00597414">
    <w:pPr>
      <w:pStyle w:val="Footer"/>
    </w:pPr>
    <w:r w:rsidRPr="001745AC">
      <w:rPr>
        <w:rFonts w:ascii="Arial" w:hAnsi="Arial" w:cs="Arial"/>
        <w:sz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9ACFF" w14:textId="77777777" w:rsidR="00D00F7C" w:rsidRDefault="00D00F7C">
      <w:pPr>
        <w:spacing w:after="0" w:line="240" w:lineRule="auto"/>
      </w:pPr>
      <w:r>
        <w:separator/>
      </w:r>
    </w:p>
  </w:footnote>
  <w:footnote w:type="continuationSeparator" w:id="0">
    <w:p w14:paraId="50C2F6F8" w14:textId="77777777" w:rsidR="00D00F7C" w:rsidRDefault="00D00F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1745AC" w:rsidRPr="001745AC" w:rsidRDefault="001745AC"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1745AC" w:rsidRPr="001745AC" w:rsidRDefault="001745AC" w:rsidP="001745AC">
    <w:pPr>
      <w:pStyle w:val="Header"/>
      <w:rPr>
        <w:rFonts w:ascii="Arial" w:hAnsi="Arial" w:cs="Arial"/>
        <w:sz w:val="20"/>
      </w:rPr>
    </w:pPr>
    <w:r w:rsidRPr="001745AC">
      <w:rPr>
        <w:rFonts w:ascii="Arial" w:hAnsi="Arial" w:cs="Arial"/>
        <w:sz w:val="20"/>
      </w:rPr>
      <w:t>Call-Off Ref:</w:t>
    </w:r>
  </w:p>
  <w:p w14:paraId="2D810F79" w14:textId="77777777" w:rsidR="001745AC" w:rsidRPr="001745AC" w:rsidRDefault="001745AC" w:rsidP="001745AC">
    <w:pPr>
      <w:pStyle w:val="Header"/>
      <w:rPr>
        <w:rFonts w:ascii="Arial" w:hAnsi="Arial" w:cs="Arial"/>
        <w:sz w:val="20"/>
      </w:rPr>
    </w:pPr>
    <w:r w:rsidRPr="001745AC">
      <w:rPr>
        <w:rFonts w:ascii="Arial" w:hAnsi="Arial" w:cs="Arial"/>
        <w:sz w:val="20"/>
      </w:rPr>
      <w:t>Crown Copyright 2018</w:t>
    </w:r>
  </w:p>
  <w:p w14:paraId="4B3B62E2" w14:textId="77777777" w:rsidR="0081513E" w:rsidRDefault="008151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53F08C5C"/>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123B48"/>
    <w:rsid w:val="001649BE"/>
    <w:rsid w:val="001745AC"/>
    <w:rsid w:val="0018789B"/>
    <w:rsid w:val="001D7353"/>
    <w:rsid w:val="0026076F"/>
    <w:rsid w:val="00336691"/>
    <w:rsid w:val="00395C1A"/>
    <w:rsid w:val="003A6C3C"/>
    <w:rsid w:val="00412D4E"/>
    <w:rsid w:val="004C5F4A"/>
    <w:rsid w:val="00551B7C"/>
    <w:rsid w:val="00562676"/>
    <w:rsid w:val="00596589"/>
    <w:rsid w:val="00597414"/>
    <w:rsid w:val="00616D25"/>
    <w:rsid w:val="007335CD"/>
    <w:rsid w:val="0077753E"/>
    <w:rsid w:val="007F02CE"/>
    <w:rsid w:val="0081513E"/>
    <w:rsid w:val="00880F36"/>
    <w:rsid w:val="008C36CF"/>
    <w:rsid w:val="008F480A"/>
    <w:rsid w:val="009612FD"/>
    <w:rsid w:val="009E142C"/>
    <w:rsid w:val="00A25A9B"/>
    <w:rsid w:val="00A34337"/>
    <w:rsid w:val="00A4427B"/>
    <w:rsid w:val="00A663BD"/>
    <w:rsid w:val="00BF1FD7"/>
    <w:rsid w:val="00CB3571"/>
    <w:rsid w:val="00D00F7C"/>
    <w:rsid w:val="00D236B6"/>
    <w:rsid w:val="00D27B36"/>
    <w:rsid w:val="00D44FC1"/>
    <w:rsid w:val="00DC54C2"/>
    <w:rsid w:val="00DF6ACE"/>
    <w:rsid w:val="00E63C82"/>
    <w:rsid w:val="00E64D05"/>
    <w:rsid w:val="00E86078"/>
    <w:rsid w:val="00E94174"/>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801C423E-3A84-463A-94F6-330436ED6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41C62-A537-49B7-B576-20FFB862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Duncan Shinn</cp:lastModifiedBy>
  <cp:revision>8</cp:revision>
  <dcterms:created xsi:type="dcterms:W3CDTF">2018-06-22T09:12:00Z</dcterms:created>
  <dcterms:modified xsi:type="dcterms:W3CDTF">2018-06-25T12:57:00Z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